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ALLEGATO </w:t>
      </w:r>
      <w:r w:rsidDel="00000000" w:rsidR="00000000" w:rsidRPr="00000000">
        <w:rPr>
          <w:b w:val="1"/>
          <w:sz w:val="24"/>
          <w:szCs w:val="24"/>
          <w:rtl w:val="0"/>
        </w:rPr>
        <w:t xml:space="preserve">B.1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– MODELLO OFFERTA </w:t>
      </w:r>
      <w:r w:rsidDel="00000000" w:rsidR="00000000" w:rsidRPr="00000000">
        <w:rPr>
          <w:b w:val="1"/>
          <w:sz w:val="24"/>
          <w:szCs w:val="24"/>
          <w:rtl w:val="0"/>
        </w:rPr>
        <w:t xml:space="preserve">TECNICA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(Da inserire nella Busta B “Offerta Tecnica”)</w:t>
      </w:r>
    </w:p>
    <w:p w:rsidR="00000000" w:rsidDel="00000000" w:rsidP="00000000" w:rsidRDefault="00000000" w:rsidRPr="00000000" w14:paraId="00000005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(M</w:t>
      </w:r>
      <w:r w:rsidDel="00000000" w:rsidR="00000000" w:rsidRPr="00000000">
        <w:rPr>
          <w:i w:val="1"/>
          <w:rtl w:val="0"/>
        </w:rPr>
        <w:t xml:space="preserve">odello offerta tecnica da rendere, sottoscritta dal legale rappresentante, o dal titolare, o dal procuratore in carta semplice con allegata la fotocopia di un documento di identità personale valido, ai sensi della normativa vigente in materia di semplificazione amministrativa)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Oggetto: POR FESR Puglia 2014/2020. Asse VI –“Tutela dell’ambiente e promozione delle risorse naturali e culturali” Azione 6.7 “Interventi per la valorizzazione e la fruizione del patrimonio culturale”. Avviso Pubblico per la selezione di interventi per la valorizzazione e la fruizione del patrimonio culturale appartenente ad enti ecclesiastici. 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Procedura per affidamento diretto previa consultazione di almeno 5 (cinque) operatori economici, del Progetto di recupero e di rifunzionalizzazione di locali da adibire ad archivio/museo e a spazi polifunzionali aperti all’utilizzo degli abitanti del quartiere nell’edificio che ospita la Chiesa Cristiana Evangelica Battista.</w:t>
            </w:r>
          </w:p>
        </w:tc>
      </w:tr>
    </w:tbl>
    <w:p w:rsidR="00000000" w:rsidDel="00000000" w:rsidP="00000000" w:rsidRDefault="00000000" w:rsidRPr="00000000" w14:paraId="00000009">
      <w:pPr>
        <w:rPr>
          <w:sz w:val="24"/>
          <w:szCs w:val="24"/>
        </w:rPr>
        <w:sectPr>
          <w:pgSz w:h="16840" w:w="11900"/>
          <w:pgMar w:bottom="1134" w:top="1134" w:left="1134" w:right="1134" w:header="0" w:footer="1627"/>
          <w:pgNumType w:start="1"/>
          <w:cols w:equalWidth="0"/>
        </w:sect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A">
      <w:pPr>
        <w:spacing w:before="4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" w:lineRule="auto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5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sottoscritto/a:</w:t>
      </w:r>
    </w:p>
    <w:p w:rsidR="00000000" w:rsidDel="00000000" w:rsidP="00000000" w:rsidRDefault="00000000" w:rsidRPr="00000000" w14:paraId="0000000D">
      <w:pPr>
        <w:spacing w:before="127" w:lineRule="auto"/>
        <w:ind w:left="25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……………………………………Cognome………........................................................................</w:t>
      </w:r>
    </w:p>
    <w:p w:rsidR="00000000" w:rsidDel="00000000" w:rsidP="00000000" w:rsidRDefault="00000000" w:rsidRPr="00000000" w14:paraId="0000000E">
      <w:pPr>
        <w:spacing w:before="128" w:line="367" w:lineRule="auto"/>
        <w:ind w:left="252" w:right="115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nato/a....................…………………….................il...........…………………………………………………residente a …………………………………codice fiscale.………….……………………………………..</w:t>
      </w:r>
    </w:p>
    <w:p w:rsidR="00000000" w:rsidDel="00000000" w:rsidP="00000000" w:rsidRDefault="00000000" w:rsidRPr="00000000" w14:paraId="0000000F">
      <w:pPr>
        <w:spacing w:before="3" w:lineRule="auto"/>
        <w:ind w:left="1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qualità di (barrare la casella corrispondente)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tabs>
          <w:tab w:val="left" w:pos="810"/>
        </w:tabs>
        <w:spacing w:before="54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Professionista singolo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810"/>
        </w:tabs>
        <w:spacing w:before="119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Professionista associato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810"/>
        </w:tabs>
        <w:spacing w:before="120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Legale rappresentante di società di professionisti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pos="810"/>
        </w:tabs>
        <w:spacing w:before="119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Legale rappresentante di società di ingegneria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tabs>
          <w:tab w:val="left" w:pos="810"/>
        </w:tabs>
        <w:spacing w:before="72" w:line="242" w:lineRule="auto"/>
        <w:ind w:left="809" w:right="115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Prestatore/Legale rappresentante del Prestatore di servizi di ingegneria ed architettura stabilito in altri stati membri conformemente alla legislazione vigente nei rispettivi paesi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810"/>
        </w:tabs>
        <w:spacing w:before="21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Legale rappresentante del consorzio stabile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tabs>
          <w:tab w:val="left" w:pos="810"/>
        </w:tabs>
        <w:spacing w:before="22" w:lineRule="auto"/>
        <w:ind w:left="809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Mandatario (in caso di raggruppamento temporaneo già costituito)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810"/>
        </w:tabs>
        <w:spacing w:before="22" w:line="275" w:lineRule="auto"/>
        <w:ind w:left="809" w:right="115" w:hanging="349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Concorrente designato quale mandatario (in caso di raggruppamento temporaneo non ancora costituito)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810"/>
        </w:tabs>
        <w:spacing w:line="246.99999999999994" w:lineRule="auto"/>
        <w:ind w:left="809" w:hanging="35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🞐 Procuratore del concorrente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4"/>
        <w:spacing w:before="119" w:lineRule="auto"/>
        <w:ind w:left="246" w:right="238"/>
        <w:jc w:val="center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none"/>
          <w:rtl w:val="0"/>
        </w:rPr>
        <w:t xml:space="preserve">DICHIARA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367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sensi degli articoli 46 e 47 del D.P.R. 445/2000 e s.m.i., consapevole delle sanzioni penali previste dall’articolo 76 del medesimo D.P.R. 445/2000 e s.m.i., nel caso di mendaci dichiarazioni, falsità negli atti, uso o esibizione di atti falsi, contenenti dati non più rispondenti a verità, oltre alle conseguenze amministrative previste per le procedure concernenti gli appalti pubblici, assumendosene la piena responsabilità, </w:t>
      </w:r>
    </w:p>
    <w:p w:rsidR="00000000" w:rsidDel="00000000" w:rsidP="00000000" w:rsidRDefault="00000000" w:rsidRPr="00000000" w14:paraId="0000001C">
      <w:pPr>
        <w:spacing w:after="120" w:line="367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fini della valutazione della capacità tecnica, di aver </w:t>
      </w:r>
      <w:r w:rsidDel="00000000" w:rsidR="00000000" w:rsidRPr="00000000">
        <w:rPr>
          <w:rFonts w:ascii="Arial" w:cs="Arial" w:eastAsia="Arial" w:hAnsi="Arial"/>
          <w:rtl w:val="0"/>
        </w:rPr>
        <w:t xml:space="preserve">espletato </w:t>
      </w:r>
      <w:r w:rsidDel="00000000" w:rsidR="00000000" w:rsidRPr="00000000">
        <w:rPr>
          <w:rFonts w:ascii="Arial" w:cs="Arial" w:eastAsia="Arial" w:hAnsi="Arial"/>
          <w:rtl w:val="0"/>
        </w:rPr>
        <w:t xml:space="preserve">negli ultimi dieci anni i seguenti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servizi di architettura e ingegneria,</w:t>
      </w:r>
      <w:r w:rsidDel="00000000" w:rsidR="00000000" w:rsidRPr="00000000">
        <w:rPr>
          <w:rFonts w:ascii="Arial" w:cs="Arial" w:eastAsia="Arial" w:hAnsi="Arial"/>
          <w:rtl w:val="0"/>
        </w:rPr>
        <w:t xml:space="preserve"> di cui all’art. 3, lett. vv) del Codice, riguardanti lavori ricompresi nelle classi e categorie Ic, ritenuti significativi della propria capacità a realizzare la prestazione sotto il profilo tecnico:</w:t>
      </w:r>
    </w:p>
    <w:p w:rsidR="00000000" w:rsidDel="00000000" w:rsidP="00000000" w:rsidRDefault="00000000" w:rsidRPr="00000000" w14:paraId="0000001D">
      <w:pPr>
        <w:spacing w:after="6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ndicare l’importo globale per lavori appartenenti a ciascuna  classe e categoria, tra quelle indicate nella tabella che segue (D.M. 17 giugno 2016); </w:t>
      </w:r>
      <w:r w:rsidDel="00000000" w:rsidR="00000000" w:rsidRPr="00000000">
        <w:rPr>
          <w:rtl w:val="0"/>
        </w:rPr>
      </w:r>
    </w:p>
    <w:tbl>
      <w:tblPr>
        <w:tblStyle w:val="Table2"/>
        <w:tblW w:w="102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1746.0000000000002"/>
        <w:gridCol w:w="893.9999999999999"/>
        <w:gridCol w:w="1710"/>
        <w:gridCol w:w="2100"/>
        <w:gridCol w:w="2445"/>
        <w:tblGridChange w:id="0">
          <w:tblGrid>
            <w:gridCol w:w="1395"/>
            <w:gridCol w:w="1746.0000000000002"/>
            <w:gridCol w:w="893.9999999999999"/>
            <w:gridCol w:w="1710"/>
            <w:gridCol w:w="2100"/>
            <w:gridCol w:w="2445"/>
          </w:tblGrid>
        </w:tblGridChange>
      </w:tblGrid>
      <w:tr>
        <w:trPr>
          <w:trHeight w:val="1120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LAVORI NEL DECENNIO PRECEDENTE LA DATA DI PUBBLICAZIONE DEL BANDO </w:t>
            </w:r>
          </w:p>
          <w:p w:rsidR="00000000" w:rsidDel="00000000" w:rsidP="00000000" w:rsidRDefault="00000000" w:rsidRPr="00000000" w14:paraId="0000001F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DISTINTI PER CATEGORIA E DESTINAZIONE FUNZIONALE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DESTINAZIONE FUNZIONALE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 OPERE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GRADO DI COMPLESSITÀ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CLASSI E CATEGORIE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40" w:before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IMPORTO LAVORI</w:t>
            </w:r>
          </w:p>
          <w:p w:rsidR="00000000" w:rsidDel="00000000" w:rsidP="00000000" w:rsidRDefault="00000000" w:rsidRPr="00000000" w14:paraId="0000002B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="367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40" w:before="240" w:line="367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6">
      <w:pPr>
        <w:spacing w:before="121" w:line="367" w:lineRule="auto"/>
        <w:ind w:left="396" w:right="136" w:hanging="27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121" w:line="367" w:lineRule="auto"/>
        <w:ind w:left="0" w:right="13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stazione appaltante si riserva di richiedere i certificati di corretta esecuzione e buon esito dei lavori indicati in elenco. </w:t>
      </w:r>
    </w:p>
    <w:p w:rsidR="00000000" w:rsidDel="00000000" w:rsidP="00000000" w:rsidRDefault="00000000" w:rsidRPr="00000000" w14:paraId="00000058">
      <w:pPr>
        <w:spacing w:before="1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firstLine="1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DATA____________________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before="80" w:lineRule="auto"/>
        <w:ind w:left="11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80" w:lineRule="auto"/>
        <w:ind w:left="11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80" w:lineRule="auto"/>
        <w:ind w:left="11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80" w:lineRule="auto"/>
        <w:ind w:left="11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before="80" w:lineRule="auto"/>
        <w:ind w:left="11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Modalità di sottoscrizione e compilazione SCHEDA: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1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before="79" w:line="278.00000000000006" w:lineRule="auto"/>
        <w:ind w:left="109" w:right="13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dichiarazione deve essere resa e sottoscritta dal concorrente/legale rappresentante del concorrente e quindi, a seconda della natura giuridica dello stesso: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tabs>
          <w:tab w:val="left" w:pos="229"/>
        </w:tabs>
        <w:spacing w:line="218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dal professionista singolo;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tabs>
          <w:tab w:val="left" w:pos="229"/>
        </w:tabs>
        <w:spacing w:before="34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professionista associato candidato alla prestazione dei servizi oggetto di gara;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tabs>
          <w:tab w:val="left" w:pos="229"/>
        </w:tabs>
        <w:spacing w:before="34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legale rappresentante dello studio associato;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tabs>
          <w:tab w:val="left" w:pos="229"/>
        </w:tabs>
        <w:spacing w:before="34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legale rappresentante della società di professionisti;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tabs>
          <w:tab w:val="left" w:pos="229"/>
        </w:tabs>
        <w:spacing w:before="34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legale rappresentante della società di ingegneria;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tabs>
          <w:tab w:val="left" w:pos="233"/>
        </w:tabs>
        <w:spacing w:before="34" w:line="276" w:lineRule="auto"/>
        <w:ind w:left="283.46456692913375" w:right="11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prestatore di servizio/legale rappresentante del prestatore di servizio;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tabs>
          <w:tab w:val="left" w:pos="229"/>
        </w:tabs>
        <w:spacing w:before="2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legale rappresentante del consorzio stabile;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tabs>
          <w:tab w:val="left" w:pos="234"/>
        </w:tabs>
        <w:spacing w:before="34" w:line="276" w:lineRule="auto"/>
        <w:ind w:left="283.46456692913375" w:right="11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mandatario/legale rappresentante del mandatario in caso di raggruppamento temporaneo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già costituito;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tabs>
          <w:tab w:val="left" w:pos="349"/>
        </w:tabs>
        <w:spacing w:before="2" w:line="278.00000000000006" w:lineRule="auto"/>
        <w:ind w:left="283.46456692913375" w:right="98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concorrente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che sarà designato </w:t>
      </w:r>
      <w:r w:rsidDel="00000000" w:rsidR="00000000" w:rsidRPr="00000000">
        <w:rPr>
          <w:sz w:val="20"/>
          <w:szCs w:val="20"/>
          <w:rtl w:val="0"/>
        </w:rPr>
        <w:t xml:space="preserve">quale mandatario/legale rappresentante del mandatario 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raggruppamento temporaneo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non ancora costituito 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SOTTOSCRITTA anche da TUTTI i componenti il costituendo raggruppamento temporaneo non ancora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costituito.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tabs>
          <w:tab w:val="left" w:pos="229"/>
        </w:tabs>
        <w:spacing w:line="218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dal procuratore legale del concorrente ed in tal caso deve essere trasmessa la relativa procura.</w:t>
      </w:r>
    </w:p>
    <w:p w:rsidR="00000000" w:rsidDel="00000000" w:rsidP="00000000" w:rsidRDefault="00000000" w:rsidRPr="00000000" w14:paraId="0000006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4"/>
          <w:szCs w:val="24"/>
        </w:rPr>
        <w:sectPr>
          <w:type w:val="continuous"/>
          <w:pgSz w:h="16840" w:w="11900"/>
          <w:pgMar w:bottom="1134" w:top="1134" w:left="1134" w:right="128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528"/>
        </w:tabs>
        <w:spacing w:before="76" w:lineRule="auto"/>
        <w:ind w:left="11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528"/>
        </w:tabs>
        <w:spacing w:before="76" w:lineRule="auto"/>
        <w:ind w:left="110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76" w:line="245" w:lineRule="auto"/>
        <w:ind w:right="2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3528"/>
        </w:tabs>
        <w:spacing w:before="76" w:lineRule="auto"/>
        <w:ind w:left="1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sectPr>
      <w:type w:val="nextPage"/>
      <w:pgSz w:h="16840" w:w="11900"/>
      <w:pgMar w:bottom="1134" w:top="1417" w:left="1134" w:right="1134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7">
      <w:pPr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Nel caso di incertezze nella comparazione di classi e categorie di cui al DM 17-6-2016, rispetto alle classificazioni precedenti, prevale il contenuto oggettivo della prestazione professionale, in relazione all’identificazione delle opere.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 "/>
      <w:lvlJc w:val="left"/>
      <w:pPr>
        <w:ind w:left="809" w:hanging="349.99999999999994"/>
      </w:pPr>
      <w:rPr>
        <w:rFonts w:ascii="Noto Sans Symbols" w:cs="Noto Sans Symbols" w:eastAsia="Noto Sans Symbols" w:hAnsi="Noto Sans Symbols"/>
        <w:sz w:val="21"/>
        <w:szCs w:val="21"/>
      </w:rPr>
    </w:lvl>
    <w:lvl w:ilvl="1">
      <w:start w:val="1"/>
      <w:numFmt w:val="bullet"/>
      <w:lvlText w:val="•"/>
      <w:lvlJc w:val="left"/>
      <w:pPr>
        <w:ind w:left="1718" w:hanging="350"/>
      </w:pPr>
      <w:rPr/>
    </w:lvl>
    <w:lvl w:ilvl="2">
      <w:start w:val="1"/>
      <w:numFmt w:val="bullet"/>
      <w:lvlText w:val="•"/>
      <w:lvlJc w:val="left"/>
      <w:pPr>
        <w:ind w:left="2627" w:hanging="350"/>
      </w:pPr>
      <w:rPr/>
    </w:lvl>
    <w:lvl w:ilvl="3">
      <w:start w:val="1"/>
      <w:numFmt w:val="bullet"/>
      <w:lvlText w:val="•"/>
      <w:lvlJc w:val="left"/>
      <w:pPr>
        <w:ind w:left="3536" w:hanging="350"/>
      </w:pPr>
      <w:rPr/>
    </w:lvl>
    <w:lvl w:ilvl="4">
      <w:start w:val="1"/>
      <w:numFmt w:val="bullet"/>
      <w:lvlText w:val="•"/>
      <w:lvlJc w:val="left"/>
      <w:pPr>
        <w:ind w:left="4445" w:hanging="350"/>
      </w:pPr>
      <w:rPr/>
    </w:lvl>
    <w:lvl w:ilvl="5">
      <w:start w:val="1"/>
      <w:numFmt w:val="bullet"/>
      <w:lvlText w:val="•"/>
      <w:lvlJc w:val="left"/>
      <w:pPr>
        <w:ind w:left="5354" w:hanging="350"/>
      </w:pPr>
      <w:rPr/>
    </w:lvl>
    <w:lvl w:ilvl="6">
      <w:start w:val="1"/>
      <w:numFmt w:val="bullet"/>
      <w:lvlText w:val="•"/>
      <w:lvlJc w:val="left"/>
      <w:pPr>
        <w:ind w:left="6263" w:hanging="350"/>
      </w:pPr>
      <w:rPr/>
    </w:lvl>
    <w:lvl w:ilvl="7">
      <w:start w:val="1"/>
      <w:numFmt w:val="bullet"/>
      <w:lvlText w:val="•"/>
      <w:lvlJc w:val="left"/>
      <w:pPr>
        <w:ind w:left="7172" w:hanging="350"/>
      </w:pPr>
      <w:rPr/>
    </w:lvl>
    <w:lvl w:ilvl="8">
      <w:start w:val="1"/>
      <w:numFmt w:val="bullet"/>
      <w:lvlText w:val="•"/>
      <w:lvlJc w:val="left"/>
      <w:pPr>
        <w:ind w:left="8081" w:hanging="35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110" w:hanging="119"/>
      </w:pPr>
      <w:rPr>
        <w:rFonts w:ascii="Arial" w:cs="Arial" w:eastAsia="Arial" w:hAnsi="Arial"/>
        <w:sz w:val="19"/>
        <w:szCs w:val="19"/>
      </w:rPr>
    </w:lvl>
    <w:lvl w:ilvl="1">
      <w:start w:val="1"/>
      <w:numFmt w:val="bullet"/>
      <w:lvlText w:val="•"/>
      <w:lvlJc w:val="left"/>
      <w:pPr>
        <w:ind w:left="1089" w:hanging="119"/>
      </w:pPr>
      <w:rPr/>
    </w:lvl>
    <w:lvl w:ilvl="2">
      <w:start w:val="1"/>
      <w:numFmt w:val="bullet"/>
      <w:lvlText w:val="•"/>
      <w:lvlJc w:val="left"/>
      <w:pPr>
        <w:ind w:left="2068" w:hanging="119"/>
      </w:pPr>
      <w:rPr/>
    </w:lvl>
    <w:lvl w:ilvl="3">
      <w:start w:val="1"/>
      <w:numFmt w:val="bullet"/>
      <w:lvlText w:val="•"/>
      <w:lvlJc w:val="left"/>
      <w:pPr>
        <w:ind w:left="3047" w:hanging="119"/>
      </w:pPr>
      <w:rPr/>
    </w:lvl>
    <w:lvl w:ilvl="4">
      <w:start w:val="1"/>
      <w:numFmt w:val="bullet"/>
      <w:lvlText w:val="•"/>
      <w:lvlJc w:val="left"/>
      <w:pPr>
        <w:ind w:left="4026" w:hanging="118.99999999999955"/>
      </w:pPr>
      <w:rPr/>
    </w:lvl>
    <w:lvl w:ilvl="5">
      <w:start w:val="1"/>
      <w:numFmt w:val="bullet"/>
      <w:lvlText w:val="•"/>
      <w:lvlJc w:val="left"/>
      <w:pPr>
        <w:ind w:left="5005" w:hanging="119"/>
      </w:pPr>
      <w:rPr/>
    </w:lvl>
    <w:lvl w:ilvl="6">
      <w:start w:val="1"/>
      <w:numFmt w:val="bullet"/>
      <w:lvlText w:val="•"/>
      <w:lvlJc w:val="left"/>
      <w:pPr>
        <w:ind w:left="5984" w:hanging="119"/>
      </w:pPr>
      <w:rPr/>
    </w:lvl>
    <w:lvl w:ilvl="7">
      <w:start w:val="1"/>
      <w:numFmt w:val="bullet"/>
      <w:lvlText w:val="•"/>
      <w:lvlJc w:val="left"/>
      <w:pPr>
        <w:ind w:left="6963" w:hanging="119"/>
      </w:pPr>
      <w:rPr/>
    </w:lvl>
    <w:lvl w:ilvl="8">
      <w:start w:val="1"/>
      <w:numFmt w:val="bullet"/>
      <w:lvlText w:val="•"/>
      <w:lvlJc w:val="left"/>
      <w:pPr>
        <w:ind w:left="7942" w:hanging="118.99999999999909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before="73" w:lineRule="auto"/>
      <w:ind w:left="443"/>
    </w:pPr>
    <w:rPr>
      <w:rFonts w:ascii="Arial" w:cs="Arial" w:eastAsia="Arial" w:hAnsi="Arial"/>
      <w:b w:val="1"/>
      <w:sz w:val="23"/>
      <w:szCs w:val="23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25E77"/>
    <w:pPr>
      <w:widowControl w:val="0"/>
      <w:spacing w:after="0" w:line="240" w:lineRule="auto"/>
    </w:pPr>
    <w:rPr>
      <w:rFonts w:ascii="Calibri" w:cs="Times New Roman" w:eastAsia="Times New Roman" w:hAnsi="Calibri"/>
      <w:lang w:val="en-US"/>
    </w:rPr>
  </w:style>
  <w:style w:type="paragraph" w:styleId="Titolo4">
    <w:name w:val="heading 4"/>
    <w:basedOn w:val="Normale"/>
    <w:link w:val="Titolo4Carattere"/>
    <w:qFormat w:val="1"/>
    <w:rsid w:val="00725E77"/>
    <w:pPr>
      <w:spacing w:before="73"/>
      <w:ind w:left="443"/>
      <w:outlineLvl w:val="3"/>
    </w:pPr>
    <w:rPr>
      <w:rFonts w:ascii="Arial" w:hAnsi="Arial"/>
      <w:b w:val="1"/>
      <w:bCs w:val="1"/>
      <w:sz w:val="23"/>
      <w:szCs w:val="23"/>
      <w:u w:val="single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4Carattere" w:customStyle="1">
    <w:name w:val="Titolo 4 Carattere"/>
    <w:basedOn w:val="Carpredefinitoparagrafo"/>
    <w:link w:val="Titolo4"/>
    <w:rsid w:val="00725E77"/>
    <w:rPr>
      <w:rFonts w:ascii="Arial" w:cs="Times New Roman" w:eastAsia="Times New Roman" w:hAnsi="Arial"/>
      <w:b w:val="1"/>
      <w:bCs w:val="1"/>
      <w:sz w:val="23"/>
      <w:szCs w:val="23"/>
      <w:u w:val="single"/>
      <w:lang w:val="en-US"/>
    </w:rPr>
  </w:style>
  <w:style w:type="paragraph" w:styleId="Intestazione">
    <w:name w:val="header"/>
    <w:basedOn w:val="Normale"/>
    <w:link w:val="IntestazioneCarattere"/>
    <w:uiPriority w:val="99"/>
    <w:unhideWhenUsed w:val="1"/>
    <w:rsid w:val="0087299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87299F"/>
    <w:rPr>
      <w:rFonts w:ascii="Calibri" w:cs="Times New Roman" w:eastAsia="Times New Roman" w:hAnsi="Calibri"/>
      <w:lang w:val="en-US"/>
    </w:rPr>
  </w:style>
  <w:style w:type="paragraph" w:styleId="Pidipagina">
    <w:name w:val="footer"/>
    <w:basedOn w:val="Normale"/>
    <w:link w:val="PidipaginaCarattere"/>
    <w:uiPriority w:val="99"/>
    <w:unhideWhenUsed w:val="1"/>
    <w:rsid w:val="0087299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87299F"/>
    <w:rPr>
      <w:rFonts w:ascii="Calibri" w:cs="Times New Roman" w:eastAsia="Times New Roman" w:hAnsi="Calibri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d9d9d9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SXinp1GzK9GlEVRe9uQ8RsacIQ==">AMUW2mUTISI0X3L0+CBwccD5oxaprVXn4WcNguA23q2C/taErcnj37bJT6TZBr1EVvtVoq9/XvbCh464f8zjnunxfjYsjj6wfJOFszM6/izPs7AMpV0besNSpUktB3hNR9HUc/gDHwRx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2019-12-09T05:39:00Z</dcterms:created>
  <dc:creator>Utente</dc:creator>
</cp:coreProperties>
</file>